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C1" w:rsidRDefault="002222C1" w:rsidP="004F2642">
      <w:pPr>
        <w:pStyle w:val="PargrafodaLista"/>
        <w:jc w:val="both"/>
        <w:rPr>
          <w:b/>
          <w:sz w:val="24"/>
          <w:szCs w:val="24"/>
        </w:rPr>
      </w:pPr>
    </w:p>
    <w:p w:rsidR="00E920FA" w:rsidRDefault="00E920FA" w:rsidP="004F2642">
      <w:pPr>
        <w:pStyle w:val="PargrafodaLista"/>
        <w:jc w:val="both"/>
        <w:rPr>
          <w:b/>
          <w:sz w:val="24"/>
          <w:szCs w:val="24"/>
        </w:rPr>
      </w:pPr>
    </w:p>
    <w:p w:rsidR="00E920FA" w:rsidRDefault="00E920FA" w:rsidP="004F2642">
      <w:pPr>
        <w:pStyle w:val="PargrafodaLista"/>
        <w:jc w:val="both"/>
        <w:rPr>
          <w:b/>
          <w:sz w:val="24"/>
          <w:szCs w:val="24"/>
        </w:rPr>
      </w:pPr>
    </w:p>
    <w:p w:rsidR="00E920FA" w:rsidRDefault="005B746A" w:rsidP="004F2642">
      <w:pPr>
        <w:pStyle w:val="PargrafodaLista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t-PT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2" type="#_x0000_t97" style="position:absolute;left:0;text-align:left;margin-left:39.7pt;margin-top:-24.75pt;width:365.55pt;height:381.7pt;z-index:251658240" fillcolor="#b6dde8 [1304]">
            <v:textbox>
              <w:txbxContent>
                <w:p w:rsidR="00E920FA" w:rsidRPr="00D81472" w:rsidRDefault="00E920FA" w:rsidP="00E920FA">
                  <w:pPr>
                    <w:jc w:val="center"/>
                    <w:rPr>
                      <w:b/>
                      <w:color w:val="1F497D" w:themeColor="text2"/>
                      <w:sz w:val="28"/>
                      <w:szCs w:val="28"/>
                    </w:rPr>
                  </w:pPr>
                  <w:r w:rsidRPr="00D81472">
                    <w:rPr>
                      <w:b/>
                      <w:color w:val="1F497D" w:themeColor="text2"/>
                      <w:sz w:val="28"/>
                      <w:szCs w:val="28"/>
                    </w:rPr>
                    <w:t xml:space="preserve">MERCADOS MUNICIPAIS </w:t>
                  </w:r>
                </w:p>
                <w:p w:rsidR="00E920FA" w:rsidRPr="00D81472" w:rsidRDefault="00E920FA" w:rsidP="00E920FA">
                  <w:pPr>
                    <w:jc w:val="center"/>
                    <w:rPr>
                      <w:b/>
                      <w:color w:val="1F497D" w:themeColor="text2"/>
                      <w:sz w:val="28"/>
                      <w:szCs w:val="28"/>
                    </w:rPr>
                  </w:pPr>
                  <w:r w:rsidRPr="00D81472">
                    <w:rPr>
                      <w:b/>
                      <w:color w:val="1F497D" w:themeColor="text2"/>
                      <w:sz w:val="28"/>
                      <w:szCs w:val="28"/>
                    </w:rPr>
                    <w:t>EM PORTUGAL</w:t>
                  </w:r>
                </w:p>
                <w:p w:rsidR="00E920FA" w:rsidRPr="00965574" w:rsidRDefault="00E920FA" w:rsidP="00E920FA">
                  <w:pPr>
                    <w:jc w:val="center"/>
                    <w:rPr>
                      <w:b/>
                      <w:color w:val="FFFF00"/>
                    </w:rPr>
                  </w:pPr>
                </w:p>
                <w:p w:rsidR="00E920FA" w:rsidRDefault="00E920FA" w:rsidP="00E920FA">
                  <w:pPr>
                    <w:jc w:val="center"/>
                  </w:pPr>
                  <w:r>
                    <w:t xml:space="preserve">- </w:t>
                  </w:r>
                  <w:r w:rsidRPr="00D81472">
                    <w:rPr>
                      <w:i/>
                      <w:color w:val="1F497D" w:themeColor="text2"/>
                      <w:sz w:val="28"/>
                      <w:szCs w:val="28"/>
                    </w:rPr>
                    <w:t>OS GRANDES</w:t>
                  </w:r>
                  <w:r w:rsidRPr="00965574">
                    <w:rPr>
                      <w:i/>
                      <w:color w:val="FFC000"/>
                      <w:sz w:val="28"/>
                      <w:szCs w:val="28"/>
                    </w:rPr>
                    <w:t xml:space="preserve"> </w:t>
                  </w:r>
                  <w:r w:rsidRPr="00965574">
                    <w:rPr>
                      <w:i/>
                      <w:color w:val="FF0000"/>
                      <w:sz w:val="28"/>
                      <w:szCs w:val="28"/>
                    </w:rPr>
                    <w:t>NÚMEROS</w:t>
                  </w:r>
                  <w:r>
                    <w:t xml:space="preserve"> –</w:t>
                  </w:r>
                </w:p>
                <w:p w:rsidR="00E920FA" w:rsidRDefault="00E920FA" w:rsidP="00E920FA">
                  <w:pPr>
                    <w:jc w:val="center"/>
                  </w:pPr>
                </w:p>
                <w:p w:rsidR="00E920FA" w:rsidRDefault="00E920FA" w:rsidP="00E920FA">
                  <w:pPr>
                    <w:jc w:val="center"/>
                    <w:rPr>
                      <w:b/>
                      <w:color w:val="FFFF00"/>
                    </w:rPr>
                  </w:pPr>
                  <w:r w:rsidRPr="00965574">
                    <w:rPr>
                      <w:b/>
                      <w:color w:val="FF0000"/>
                    </w:rPr>
                    <w:t>510</w:t>
                  </w:r>
                  <w:r w:rsidRPr="00965574">
                    <w:rPr>
                      <w:color w:val="FF0000"/>
                    </w:rPr>
                    <w:t xml:space="preserve"> </w:t>
                  </w:r>
                  <w:r w:rsidRPr="00D81472">
                    <w:rPr>
                      <w:b/>
                      <w:color w:val="1F497D" w:themeColor="text2"/>
                    </w:rPr>
                    <w:t>Mercados</w:t>
                  </w:r>
                </w:p>
                <w:p w:rsidR="00E920FA" w:rsidRDefault="00E920FA" w:rsidP="00E920FA">
                  <w:pPr>
                    <w:jc w:val="center"/>
                  </w:pPr>
                </w:p>
                <w:p w:rsidR="00E920FA" w:rsidRDefault="00E920FA" w:rsidP="00E920FA">
                  <w:pPr>
                    <w:jc w:val="center"/>
                    <w:rPr>
                      <w:b/>
                      <w:color w:val="FFFF00"/>
                    </w:rPr>
                  </w:pPr>
                  <w:r w:rsidRPr="00965574">
                    <w:rPr>
                      <w:b/>
                      <w:color w:val="FF0000"/>
                    </w:rPr>
                    <w:t>58.000</w:t>
                  </w:r>
                  <w:r>
                    <w:t xml:space="preserve"> </w:t>
                  </w:r>
                  <w:r w:rsidRPr="00D81472">
                    <w:rPr>
                      <w:b/>
                      <w:color w:val="1F497D" w:themeColor="text2"/>
                    </w:rPr>
                    <w:t>Pontos de Venda</w:t>
                  </w:r>
                </w:p>
                <w:p w:rsidR="00E920FA" w:rsidRDefault="00E920FA" w:rsidP="00E920FA">
                  <w:pPr>
                    <w:jc w:val="center"/>
                  </w:pPr>
                </w:p>
                <w:p w:rsidR="00E920FA" w:rsidRDefault="00E920FA" w:rsidP="00E920FA">
                  <w:pPr>
                    <w:jc w:val="center"/>
                    <w:rPr>
                      <w:b/>
                      <w:color w:val="FFFF00"/>
                    </w:rPr>
                  </w:pPr>
                  <w:r w:rsidRPr="00965574">
                    <w:rPr>
                      <w:b/>
                      <w:color w:val="FF0000"/>
                    </w:rPr>
                    <w:t>150.000</w:t>
                  </w:r>
                  <w:r>
                    <w:t xml:space="preserve"> </w:t>
                  </w:r>
                  <w:r w:rsidRPr="00D81472">
                    <w:rPr>
                      <w:b/>
                      <w:color w:val="1F497D" w:themeColor="text2"/>
                    </w:rPr>
                    <w:t>Postos de Trabalho</w:t>
                  </w:r>
                </w:p>
                <w:p w:rsidR="00E920FA" w:rsidRDefault="00E920FA" w:rsidP="00E920FA">
                  <w:pPr>
                    <w:jc w:val="center"/>
                  </w:pPr>
                </w:p>
                <w:p w:rsidR="00E920FA" w:rsidRDefault="00E920FA" w:rsidP="00E920FA">
                  <w:pPr>
                    <w:jc w:val="center"/>
                  </w:pPr>
                  <w:r w:rsidRPr="00965574">
                    <w:rPr>
                      <w:b/>
                      <w:color w:val="FF0000"/>
                    </w:rPr>
                    <w:t>160.000</w:t>
                  </w:r>
                  <w:r>
                    <w:t xml:space="preserve"> </w:t>
                  </w:r>
                  <w:r w:rsidRPr="00D81472">
                    <w:rPr>
                      <w:b/>
                      <w:color w:val="1F497D" w:themeColor="text2"/>
                    </w:rPr>
                    <w:t>Visitantes/Clientes Diários</w:t>
                  </w:r>
                </w:p>
              </w:txbxContent>
            </v:textbox>
          </v:shape>
        </w:pict>
      </w:r>
    </w:p>
    <w:p w:rsidR="00E920FA" w:rsidRDefault="00E920FA" w:rsidP="004F2642">
      <w:pPr>
        <w:pStyle w:val="PargrafodaLista"/>
        <w:jc w:val="both"/>
        <w:rPr>
          <w:b/>
          <w:sz w:val="24"/>
          <w:szCs w:val="24"/>
        </w:rPr>
      </w:pPr>
    </w:p>
    <w:p w:rsidR="00E920FA" w:rsidRDefault="00E920FA" w:rsidP="004F2642">
      <w:pPr>
        <w:pStyle w:val="PargrafodaLista"/>
        <w:jc w:val="both"/>
        <w:rPr>
          <w:b/>
          <w:sz w:val="24"/>
          <w:szCs w:val="24"/>
        </w:rPr>
      </w:pPr>
    </w:p>
    <w:p w:rsidR="00E920FA" w:rsidRDefault="00E920FA" w:rsidP="004F2642">
      <w:pPr>
        <w:pStyle w:val="PargrafodaLista"/>
        <w:jc w:val="both"/>
        <w:rPr>
          <w:b/>
          <w:sz w:val="24"/>
          <w:szCs w:val="24"/>
        </w:rPr>
      </w:pPr>
    </w:p>
    <w:p w:rsidR="00E920FA" w:rsidRDefault="00E920FA" w:rsidP="004F2642">
      <w:pPr>
        <w:pStyle w:val="PargrafodaLista"/>
        <w:jc w:val="both"/>
        <w:rPr>
          <w:b/>
          <w:sz w:val="24"/>
          <w:szCs w:val="24"/>
        </w:rPr>
      </w:pPr>
    </w:p>
    <w:p w:rsidR="00E920FA" w:rsidRPr="004F2642" w:rsidRDefault="00E920FA" w:rsidP="004F2642">
      <w:pPr>
        <w:pStyle w:val="PargrafodaLista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F100D9" w:rsidRDefault="00F100D9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F100D9" w:rsidRDefault="00F100D9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E920FA" w:rsidRDefault="00E920FA" w:rsidP="00301DCA">
      <w:pPr>
        <w:spacing w:before="120" w:after="120" w:line="360" w:lineRule="auto"/>
        <w:jc w:val="both"/>
        <w:rPr>
          <w:b/>
          <w:sz w:val="24"/>
          <w:szCs w:val="24"/>
        </w:rPr>
      </w:pPr>
    </w:p>
    <w:p w:rsidR="00BF65CD" w:rsidRPr="00D27C21" w:rsidRDefault="007C441E" w:rsidP="007C441E">
      <w:pPr>
        <w:pStyle w:val="PargrafodaLista"/>
        <w:numPr>
          <w:ilvl w:val="0"/>
          <w:numId w:val="4"/>
        </w:numPr>
        <w:spacing w:before="120" w:after="120" w:line="360" w:lineRule="auto"/>
        <w:jc w:val="both"/>
        <w:rPr>
          <w:b/>
        </w:rPr>
      </w:pPr>
      <w:r w:rsidRPr="00D27C21">
        <w:rPr>
          <w:b/>
        </w:rPr>
        <w:t>A a</w:t>
      </w:r>
      <w:r w:rsidR="00511919" w:rsidRPr="00D27C21">
        <w:rPr>
          <w:b/>
        </w:rPr>
        <w:t>ntiguidade</w:t>
      </w:r>
      <w:r w:rsidR="00C4454C" w:rsidRPr="00D27C21">
        <w:rPr>
          <w:b/>
        </w:rPr>
        <w:t xml:space="preserve"> dos m</w:t>
      </w:r>
      <w:r w:rsidR="00511919" w:rsidRPr="00D27C21">
        <w:rPr>
          <w:b/>
        </w:rPr>
        <w:t>ercados (data de construção)</w:t>
      </w:r>
    </w:p>
    <w:p w:rsidR="00BF65CD" w:rsidRDefault="00511919" w:rsidP="00511919">
      <w:pPr>
        <w:spacing w:before="120" w:after="120" w:line="360" w:lineRule="auto"/>
        <w:jc w:val="center"/>
        <w:rPr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>
            <wp:extent cx="3349869" cy="1793631"/>
            <wp:effectExtent l="0" t="0" r="0" b="0"/>
            <wp:docPr id="14" name="Gráfico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100D9" w:rsidRDefault="00F100D9" w:rsidP="00511919">
      <w:pPr>
        <w:spacing w:before="120" w:after="120" w:line="360" w:lineRule="auto"/>
        <w:jc w:val="center"/>
        <w:rPr>
          <w:sz w:val="24"/>
          <w:szCs w:val="24"/>
        </w:rPr>
      </w:pPr>
    </w:p>
    <w:p w:rsidR="002E13D0" w:rsidRPr="00D27C21" w:rsidRDefault="00D27C21" w:rsidP="007C441E">
      <w:pPr>
        <w:pStyle w:val="PargrafodaLista"/>
        <w:numPr>
          <w:ilvl w:val="0"/>
          <w:numId w:val="4"/>
        </w:numPr>
        <w:spacing w:before="120" w:after="120" w:line="360" w:lineRule="auto"/>
        <w:jc w:val="both"/>
        <w:rPr>
          <w:b/>
        </w:rPr>
      </w:pPr>
      <w:r>
        <w:rPr>
          <w:b/>
        </w:rPr>
        <w:lastRenderedPageBreak/>
        <w:t>O f</w:t>
      </w:r>
      <w:r w:rsidR="009F72DD" w:rsidRPr="00D27C21">
        <w:rPr>
          <w:b/>
        </w:rPr>
        <w:t xml:space="preserve">uncionamento </w:t>
      </w:r>
      <w:r w:rsidR="007C441E" w:rsidRPr="00D27C21">
        <w:rPr>
          <w:b/>
        </w:rPr>
        <w:t>e os horários</w:t>
      </w:r>
    </w:p>
    <w:p w:rsidR="002E13D0" w:rsidRDefault="001D58B1" w:rsidP="001D58B1">
      <w:pPr>
        <w:pStyle w:val="PargrafodaLista"/>
        <w:spacing w:before="120" w:after="120" w:line="360" w:lineRule="auto"/>
        <w:ind w:left="0"/>
        <w:rPr>
          <w:b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>
            <wp:extent cx="2681654" cy="1477107"/>
            <wp:effectExtent l="0" t="0" r="0" b="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noProof/>
          <w:lang w:eastAsia="pt-PT"/>
        </w:rPr>
        <w:drawing>
          <wp:inline distT="0" distB="0" distL="0" distR="0">
            <wp:extent cx="2576146" cy="1441938"/>
            <wp:effectExtent l="0" t="0" r="0" b="0"/>
            <wp:docPr id="4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100D9" w:rsidRDefault="00F100D9" w:rsidP="001D58B1">
      <w:pPr>
        <w:pStyle w:val="PargrafodaLista"/>
        <w:spacing w:before="120" w:after="120" w:line="360" w:lineRule="auto"/>
        <w:ind w:left="0"/>
        <w:rPr>
          <w:b/>
          <w:sz w:val="24"/>
          <w:szCs w:val="24"/>
        </w:rPr>
      </w:pPr>
    </w:p>
    <w:p w:rsidR="00162B61" w:rsidRPr="00D27C21" w:rsidRDefault="00D27C21" w:rsidP="007C441E">
      <w:pPr>
        <w:pStyle w:val="PargrafodaLista"/>
        <w:numPr>
          <w:ilvl w:val="0"/>
          <w:numId w:val="4"/>
        </w:numPr>
        <w:spacing w:before="120" w:after="120" w:line="360" w:lineRule="auto"/>
        <w:jc w:val="both"/>
        <w:rPr>
          <w:b/>
        </w:rPr>
      </w:pPr>
      <w:r>
        <w:rPr>
          <w:b/>
        </w:rPr>
        <w:t>A f</w:t>
      </w:r>
      <w:r w:rsidR="00E90301" w:rsidRPr="00D27C21">
        <w:rPr>
          <w:b/>
        </w:rPr>
        <w:t>orma</w:t>
      </w:r>
      <w:r w:rsidR="007C441E" w:rsidRPr="00D27C21">
        <w:rPr>
          <w:b/>
        </w:rPr>
        <w:t>/modelo</w:t>
      </w:r>
      <w:r w:rsidR="00E90301" w:rsidRPr="00D27C21">
        <w:rPr>
          <w:b/>
        </w:rPr>
        <w:t xml:space="preserve"> de </w:t>
      </w:r>
      <w:r w:rsidR="00162B61" w:rsidRPr="00D27C21">
        <w:rPr>
          <w:b/>
        </w:rPr>
        <w:t>gestão</w:t>
      </w:r>
      <w:r w:rsidR="00AB5E75" w:rsidRPr="00D27C21">
        <w:rPr>
          <w:b/>
        </w:rPr>
        <w:t xml:space="preserve"> ado</w:t>
      </w:r>
      <w:r w:rsidR="00E75573" w:rsidRPr="00D27C21">
        <w:rPr>
          <w:b/>
        </w:rPr>
        <w:t>p</w:t>
      </w:r>
      <w:r w:rsidR="00AB5E75" w:rsidRPr="00D27C21">
        <w:rPr>
          <w:b/>
        </w:rPr>
        <w:t>tada</w:t>
      </w:r>
    </w:p>
    <w:p w:rsidR="00162B61" w:rsidRDefault="00AB5E75" w:rsidP="007C441E">
      <w:pPr>
        <w:spacing w:before="120" w:after="120" w:line="360" w:lineRule="auto"/>
        <w:jc w:val="center"/>
        <w:rPr>
          <w:b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>
            <wp:extent cx="2558562" cy="1318846"/>
            <wp:effectExtent l="0" t="0" r="0" b="0"/>
            <wp:docPr id="7" name="Grá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100D9" w:rsidRDefault="00F100D9" w:rsidP="007C441E">
      <w:pPr>
        <w:spacing w:before="120" w:after="120" w:line="360" w:lineRule="auto"/>
        <w:jc w:val="center"/>
        <w:rPr>
          <w:b/>
          <w:sz w:val="24"/>
          <w:szCs w:val="24"/>
        </w:rPr>
      </w:pPr>
    </w:p>
    <w:p w:rsidR="00A6168E" w:rsidRPr="00D27C21" w:rsidRDefault="00A6168E" w:rsidP="007C441E">
      <w:pPr>
        <w:pStyle w:val="PargrafodaLista"/>
        <w:numPr>
          <w:ilvl w:val="0"/>
          <w:numId w:val="4"/>
        </w:numPr>
        <w:spacing w:before="120" w:after="120" w:line="360" w:lineRule="auto"/>
        <w:jc w:val="both"/>
        <w:rPr>
          <w:b/>
        </w:rPr>
      </w:pPr>
      <w:r w:rsidRPr="00D27C21">
        <w:rPr>
          <w:b/>
        </w:rPr>
        <w:t>Instrumentos de planeamento / gestão</w:t>
      </w:r>
    </w:p>
    <w:p w:rsidR="00A6168E" w:rsidRDefault="00A6168E" w:rsidP="007C441E">
      <w:pPr>
        <w:spacing w:before="120" w:after="120" w:line="360" w:lineRule="auto"/>
        <w:jc w:val="center"/>
        <w:rPr>
          <w:b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>
            <wp:extent cx="2628900" cy="1222131"/>
            <wp:effectExtent l="0" t="0" r="0" b="0"/>
            <wp:docPr id="11" name="Grá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100D9" w:rsidRDefault="00F100D9" w:rsidP="007C441E">
      <w:pPr>
        <w:spacing w:before="120" w:after="120" w:line="360" w:lineRule="auto"/>
        <w:jc w:val="center"/>
        <w:rPr>
          <w:b/>
          <w:sz w:val="24"/>
          <w:szCs w:val="24"/>
        </w:rPr>
      </w:pPr>
    </w:p>
    <w:p w:rsidR="007C441E" w:rsidRPr="00F100D9" w:rsidRDefault="007C441E" w:rsidP="00F100D9">
      <w:pPr>
        <w:pStyle w:val="PargrafodaLista"/>
        <w:numPr>
          <w:ilvl w:val="0"/>
          <w:numId w:val="4"/>
        </w:numPr>
        <w:spacing w:before="120" w:after="120" w:line="360" w:lineRule="auto"/>
        <w:jc w:val="both"/>
        <w:rPr>
          <w:b/>
        </w:rPr>
      </w:pPr>
      <w:r w:rsidRPr="00F100D9">
        <w:rPr>
          <w:b/>
          <w:bCs/>
        </w:rPr>
        <w:t xml:space="preserve">Relação entre receitas/despesas geradas  </w:t>
      </w:r>
    </w:p>
    <w:p w:rsidR="006A4215" w:rsidRDefault="001A0AE5" w:rsidP="001A0AE5">
      <w:pPr>
        <w:spacing w:before="120" w:after="120" w:line="360" w:lineRule="auto"/>
        <w:jc w:val="center"/>
        <w:rPr>
          <w:b/>
          <w:bCs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>
            <wp:extent cx="3385038" cy="1345223"/>
            <wp:effectExtent l="0" t="0" r="0" b="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449AA" w:rsidRPr="00A6168E" w:rsidRDefault="008449AA" w:rsidP="008449AA">
      <w:pPr>
        <w:spacing w:after="0" w:line="240" w:lineRule="auto"/>
        <w:jc w:val="both"/>
        <w:rPr>
          <w:b/>
          <w:sz w:val="24"/>
          <w:szCs w:val="24"/>
        </w:rPr>
      </w:pPr>
    </w:p>
    <w:sectPr w:rsidR="008449AA" w:rsidRPr="00A6168E" w:rsidSect="00BD56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40AF"/>
    <w:multiLevelType w:val="multilevel"/>
    <w:tmpl w:val="42344A96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9751DE9"/>
    <w:multiLevelType w:val="hybridMultilevel"/>
    <w:tmpl w:val="1390EC7E"/>
    <w:lvl w:ilvl="0" w:tplc="DC38FD5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32B55"/>
    <w:multiLevelType w:val="hybridMultilevel"/>
    <w:tmpl w:val="9C247C5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48065D"/>
    <w:multiLevelType w:val="multilevel"/>
    <w:tmpl w:val="983E32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63B0C"/>
    <w:rsid w:val="00050C5F"/>
    <w:rsid w:val="00091524"/>
    <w:rsid w:val="00092E70"/>
    <w:rsid w:val="00097725"/>
    <w:rsid w:val="000E636C"/>
    <w:rsid w:val="00103C17"/>
    <w:rsid w:val="00110BF8"/>
    <w:rsid w:val="00130C4B"/>
    <w:rsid w:val="00162B61"/>
    <w:rsid w:val="001A0AE5"/>
    <w:rsid w:val="001A3FA5"/>
    <w:rsid w:val="001C0470"/>
    <w:rsid w:val="001D083D"/>
    <w:rsid w:val="001D58B1"/>
    <w:rsid w:val="001E5F5B"/>
    <w:rsid w:val="00202736"/>
    <w:rsid w:val="00206231"/>
    <w:rsid w:val="002139E0"/>
    <w:rsid w:val="002222C1"/>
    <w:rsid w:val="002327B5"/>
    <w:rsid w:val="00263E5F"/>
    <w:rsid w:val="00290481"/>
    <w:rsid w:val="0029128E"/>
    <w:rsid w:val="00291767"/>
    <w:rsid w:val="00291C45"/>
    <w:rsid w:val="002A67A6"/>
    <w:rsid w:val="002C00C1"/>
    <w:rsid w:val="002E13D0"/>
    <w:rsid w:val="00301DCA"/>
    <w:rsid w:val="00351896"/>
    <w:rsid w:val="003526C0"/>
    <w:rsid w:val="003916E9"/>
    <w:rsid w:val="003D33CE"/>
    <w:rsid w:val="003F000E"/>
    <w:rsid w:val="003F7F83"/>
    <w:rsid w:val="0044264B"/>
    <w:rsid w:val="00452A8C"/>
    <w:rsid w:val="00482DA5"/>
    <w:rsid w:val="00491B06"/>
    <w:rsid w:val="004C5C10"/>
    <w:rsid w:val="004D042F"/>
    <w:rsid w:val="004D0746"/>
    <w:rsid w:val="004D7067"/>
    <w:rsid w:val="004F2642"/>
    <w:rsid w:val="00511919"/>
    <w:rsid w:val="005153A3"/>
    <w:rsid w:val="0054091C"/>
    <w:rsid w:val="00575235"/>
    <w:rsid w:val="005B2850"/>
    <w:rsid w:val="005B746A"/>
    <w:rsid w:val="00611EB3"/>
    <w:rsid w:val="006A4215"/>
    <w:rsid w:val="006C5709"/>
    <w:rsid w:val="006D5584"/>
    <w:rsid w:val="00706B91"/>
    <w:rsid w:val="00752D44"/>
    <w:rsid w:val="00773FD9"/>
    <w:rsid w:val="00792AD0"/>
    <w:rsid w:val="007C441E"/>
    <w:rsid w:val="007D613C"/>
    <w:rsid w:val="007F1FBC"/>
    <w:rsid w:val="008313D4"/>
    <w:rsid w:val="008449AA"/>
    <w:rsid w:val="00855C7C"/>
    <w:rsid w:val="00867DC3"/>
    <w:rsid w:val="008A7AF8"/>
    <w:rsid w:val="008B730F"/>
    <w:rsid w:val="00913189"/>
    <w:rsid w:val="009532B2"/>
    <w:rsid w:val="00963B0C"/>
    <w:rsid w:val="00965574"/>
    <w:rsid w:val="00973926"/>
    <w:rsid w:val="00980A49"/>
    <w:rsid w:val="009A2130"/>
    <w:rsid w:val="009F72DD"/>
    <w:rsid w:val="00A3137F"/>
    <w:rsid w:val="00A6168E"/>
    <w:rsid w:val="00A63153"/>
    <w:rsid w:val="00A71BE5"/>
    <w:rsid w:val="00A727AF"/>
    <w:rsid w:val="00AB1CC5"/>
    <w:rsid w:val="00AB5E75"/>
    <w:rsid w:val="00AE372B"/>
    <w:rsid w:val="00B22BC9"/>
    <w:rsid w:val="00B36AB4"/>
    <w:rsid w:val="00B6659E"/>
    <w:rsid w:val="00B71602"/>
    <w:rsid w:val="00B817A9"/>
    <w:rsid w:val="00BD56A5"/>
    <w:rsid w:val="00BF65CD"/>
    <w:rsid w:val="00C06E7A"/>
    <w:rsid w:val="00C4454C"/>
    <w:rsid w:val="00C762B8"/>
    <w:rsid w:val="00CA0A60"/>
    <w:rsid w:val="00CA2622"/>
    <w:rsid w:val="00CB1222"/>
    <w:rsid w:val="00CC7705"/>
    <w:rsid w:val="00CF0DC0"/>
    <w:rsid w:val="00D05FD2"/>
    <w:rsid w:val="00D26851"/>
    <w:rsid w:val="00D27C21"/>
    <w:rsid w:val="00D737C7"/>
    <w:rsid w:val="00D81472"/>
    <w:rsid w:val="00D83A8C"/>
    <w:rsid w:val="00DE4248"/>
    <w:rsid w:val="00DF4110"/>
    <w:rsid w:val="00E129F5"/>
    <w:rsid w:val="00E21603"/>
    <w:rsid w:val="00E267EC"/>
    <w:rsid w:val="00E44456"/>
    <w:rsid w:val="00E6790E"/>
    <w:rsid w:val="00E73F67"/>
    <w:rsid w:val="00E75573"/>
    <w:rsid w:val="00E90301"/>
    <w:rsid w:val="00E920FA"/>
    <w:rsid w:val="00EE50E3"/>
    <w:rsid w:val="00F100D9"/>
    <w:rsid w:val="00F36BEF"/>
    <w:rsid w:val="00F74FD8"/>
    <w:rsid w:val="00F83216"/>
    <w:rsid w:val="00F93A08"/>
    <w:rsid w:val="00F95D4B"/>
    <w:rsid w:val="00FA148D"/>
    <w:rsid w:val="00FA576B"/>
    <w:rsid w:val="00FB5D95"/>
    <w:rsid w:val="00FC0897"/>
    <w:rsid w:val="00FC26B2"/>
    <w:rsid w:val="00FD34B3"/>
    <w:rsid w:val="00FD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A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3FA5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62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62B6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62B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character" w:styleId="nfaseDiscreto">
    <w:name w:val="Subtle Emphasis"/>
    <w:basedOn w:val="Tipodeletrapredefinidodopargrafo"/>
    <w:uiPriority w:val="19"/>
    <w:qFormat/>
    <w:rsid w:val="004D074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3FA5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62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62B6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62B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856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3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4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56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7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187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04247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947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58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2335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291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9756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1911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123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0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jbarreta\Desktop\gr&#225;ficos%20TRABALHO%20DOS%20MERCADIOS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jbarreta\Desktop\23%20novemb%20revista%20hipersuper%20novembro%202014\gr&#225;ficos%20TRABALHO%20DOS%20MERCADIOS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jbarreta\Desktop\23%20novemb%20revista%20hipersuper%20novembro%202014\gr&#225;ficos%20TRABALHO%20DOS%20MERCADIOS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jbarreta\Desktop\gr&#225;ficos%20TRABALHO%20DOS%20MERCADIOS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jbarreta\Desktop\gr&#225;ficos%20TRABALHO%20DOS%20MERCADIOS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jbarreta\Desktop\23%20novemb%20revista%20hipersuper%20novembro%202014\gr&#225;ficos%20TRABALHO%20DOS%20MERCADIO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t-PT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pt-PT" sz="1200">
                <a:latin typeface="+mn-lt"/>
              </a:rPr>
              <a:t> </a:t>
            </a:r>
            <a:endParaRPr lang="pt-PT" sz="1200" baseline="0">
              <a:latin typeface="+mn-lt"/>
            </a:endParaRPr>
          </a:p>
        </c:rich>
      </c:tx>
      <c:layout>
        <c:manualLayout>
          <c:xMode val="edge"/>
          <c:yMode val="edge"/>
          <c:x val="0.194930428217021"/>
          <c:y val="0.16926802793718584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29735234215886003"/>
          <c:y val="0.31250105964172226"/>
          <c:w val="0.40529531568228105"/>
          <c:h val="0.27430648568551241"/>
        </c:manualLayout>
      </c:layout>
      <c:pie3DChart>
        <c:varyColors val="1"/>
        <c:ser>
          <c:idx val="0"/>
          <c:order val="0"/>
          <c:spPr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3366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t-PT"/>
              </a:p>
            </c:txPr>
            <c:showPercent val="1"/>
            <c:showLeaderLines val="1"/>
          </c:dLbls>
          <c:cat>
            <c:strRef>
              <c:f>'ANO DE CONSTRUÇ'!$A$2:$A$6</c:f>
              <c:strCache>
                <c:ptCount val="5"/>
                <c:pt idx="0">
                  <c:v>Antes de 1950</c:v>
                </c:pt>
                <c:pt idx="1">
                  <c:v>1950 a 1965</c:v>
                </c:pt>
                <c:pt idx="2">
                  <c:v>1966 a 1981</c:v>
                </c:pt>
                <c:pt idx="3">
                  <c:v>1982 a 1997</c:v>
                </c:pt>
                <c:pt idx="4">
                  <c:v>1998 a 2013</c:v>
                </c:pt>
              </c:strCache>
            </c:strRef>
          </c:cat>
          <c:val>
            <c:numRef>
              <c:f>'ANO DE CONSTRUÇ'!$B$2:$B$6</c:f>
              <c:numCache>
                <c:formatCode>0%</c:formatCode>
                <c:ptCount val="5"/>
                <c:pt idx="0">
                  <c:v>0.26</c:v>
                </c:pt>
                <c:pt idx="1">
                  <c:v>8.0000000000000043E-2</c:v>
                </c:pt>
                <c:pt idx="2">
                  <c:v>0.1</c:v>
                </c:pt>
                <c:pt idx="3">
                  <c:v>0.26</c:v>
                </c:pt>
                <c:pt idx="4">
                  <c:v>0.30000000000000032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2.309504619009238E-2"/>
          <c:y val="0.70155614476448269"/>
          <c:w val="0.95720135593568201"/>
          <c:h val="0.214630699305176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pt-PT"/>
        </a:p>
      </c:txPr>
    </c:legend>
    <c:plotVisOnly val="1"/>
    <c:dispBlanksAs val="zero"/>
  </c:chart>
  <c:spPr>
    <a:noFill/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pt-PT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PT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29735234215885964"/>
          <c:y val="0.21726284214473196"/>
          <c:w val="0.54265449236558005"/>
          <c:h val="0.36954443194600683"/>
        </c:manualLayout>
      </c:layout>
      <c:pie3DChart>
        <c:varyColors val="1"/>
        <c:ser>
          <c:idx val="0"/>
          <c:order val="0"/>
          <c:spPr>
            <a:ln w="12700">
              <a:solidFill>
                <a:srgbClr val="000000"/>
              </a:solidFill>
              <a:prstDash val="solid"/>
            </a:ln>
          </c:spPr>
          <c:dPt>
            <c:idx val="0"/>
            <c:explosion val="14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explosion val="1"/>
            <c:spPr>
              <a:solidFill>
                <a:srgbClr val="99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3366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t-PT"/>
              </a:p>
            </c:txPr>
            <c:showPercent val="1"/>
            <c:showLeaderLines val="1"/>
          </c:dLbls>
          <c:cat>
            <c:strRef>
              <c:f>horários!$A$2:$A$3</c:f>
              <c:strCache>
                <c:ptCount val="2"/>
                <c:pt idx="0">
                  <c:v>6 dias por semana</c:v>
                </c:pt>
                <c:pt idx="1">
                  <c:v>menos de 6 dias </c:v>
                </c:pt>
              </c:strCache>
            </c:strRef>
          </c:cat>
          <c:val>
            <c:numRef>
              <c:f>horários!$B$2:$B$3</c:f>
              <c:numCache>
                <c:formatCode>0%</c:formatCode>
                <c:ptCount val="2"/>
                <c:pt idx="0">
                  <c:v>0.66000000000000025</c:v>
                </c:pt>
                <c:pt idx="1">
                  <c:v>0.34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5492401006113879"/>
          <c:y val="0.71205786776652913"/>
          <c:w val="0.71909275039250264"/>
          <c:h val="0.2369810557192895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pt-PT"/>
        </a:p>
      </c:txPr>
    </c:legend>
    <c:plotVisOnly val="1"/>
    <c:dispBlanksAs val="zero"/>
  </c:chart>
  <c:spPr>
    <a:noFill/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pt-PT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PT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27587363062495518"/>
          <c:y val="0.22886701662292219"/>
          <c:w val="0.57821684220317726"/>
          <c:h val="0.38988376452943402"/>
        </c:manualLayout>
      </c:layout>
      <c:pie3DChart>
        <c:varyColors val="1"/>
        <c:ser>
          <c:idx val="0"/>
          <c:order val="0"/>
          <c:spPr>
            <a:ln w="12700">
              <a:solidFill>
                <a:srgbClr val="000000"/>
              </a:solidFill>
              <a:prstDash val="solid"/>
            </a:ln>
          </c:spPr>
          <c:dPt>
            <c:idx val="0"/>
            <c:explosion val="16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3366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t-PT"/>
              </a:p>
            </c:txPr>
            <c:showPercent val="1"/>
            <c:showLeaderLines val="1"/>
          </c:dLbls>
          <c:cat>
            <c:strRef>
              <c:f>iiiiiii!$A$2:$A$3</c:f>
              <c:strCache>
                <c:ptCount val="1"/>
                <c:pt idx="0">
                  <c:v>apenas período da manhã</c:v>
                </c:pt>
              </c:strCache>
            </c:strRef>
          </c:cat>
          <c:val>
            <c:numRef>
              <c:f>iiiiiii!$B$2:$B$3</c:f>
              <c:numCache>
                <c:formatCode>0%</c:formatCode>
                <c:ptCount val="2"/>
                <c:pt idx="0">
                  <c:v>0.4</c:v>
                </c:pt>
                <c:pt idx="1">
                  <c:v>0.6000000000000002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b"/>
      <c:legendEntry>
        <c:idx val="1"/>
        <c:delete val="1"/>
      </c:legendEntry>
      <c:layout>
        <c:manualLayout>
          <c:xMode val="edge"/>
          <c:yMode val="edge"/>
          <c:x val="0.1303026971252654"/>
          <c:y val="0.71433070866141735"/>
          <c:w val="0.80054635930072149"/>
          <c:h val="0.23805024371953509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pt-PT"/>
        </a:p>
      </c:txPr>
    </c:legend>
    <c:plotVisOnly val="1"/>
    <c:dispBlanksAs val="zero"/>
  </c:chart>
  <c:spPr>
    <a:noFill/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pt-PT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PT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22290246109407588"/>
          <c:y val="0.18984345866477087"/>
          <c:w val="0.57906472463829295"/>
          <c:h val="0.39710633274758894"/>
        </c:manualLayout>
      </c:layout>
      <c:pie3DChart>
        <c:varyColors val="1"/>
        <c:ser>
          <c:idx val="0"/>
          <c:order val="0"/>
          <c:spPr>
            <a:ln w="12700">
              <a:solidFill>
                <a:srgbClr val="000000"/>
              </a:solidFill>
              <a:prstDash val="solid"/>
            </a:ln>
          </c:spPr>
          <c:dPt>
            <c:idx val="0"/>
            <c:explosion val="24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3366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C0C0C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t-PT"/>
              </a:p>
            </c:txPr>
            <c:showPercent val="1"/>
            <c:showLeaderLines val="1"/>
          </c:dLbls>
          <c:cat>
            <c:strRef>
              <c:f>gestão!$A$2:$A$3</c:f>
              <c:strCache>
                <c:ptCount val="2"/>
                <c:pt idx="0">
                  <c:v>Gestão Direta pela Autarquia</c:v>
                </c:pt>
                <c:pt idx="1">
                  <c:v>Outra</c:v>
                </c:pt>
              </c:strCache>
            </c:strRef>
          </c:cat>
          <c:val>
            <c:numRef>
              <c:f>gestão!$B$2:$B$3</c:f>
              <c:numCache>
                <c:formatCode>0%</c:formatCode>
                <c:ptCount val="2"/>
                <c:pt idx="0">
                  <c:v>0.93</c:v>
                </c:pt>
                <c:pt idx="1">
                  <c:v>7.0000000000000021E-2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1.9131713941709282E-2"/>
          <c:y val="0.66622799723171588"/>
          <c:w val="0.95643320834596657"/>
          <c:h val="0.197541911909479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pt-PT"/>
        </a:p>
      </c:txPr>
    </c:legend>
    <c:plotVisOnly val="1"/>
    <c:dispBlanksAs val="zero"/>
  </c:chart>
  <c:spPr>
    <a:noFill/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pt-PT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PT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29735234215886003"/>
          <c:y val="0.31250105964172226"/>
          <c:w val="0.5164064817984706"/>
          <c:h val="0.35387152152700607"/>
        </c:manualLayout>
      </c:layout>
      <c:pie3DChart>
        <c:varyColors val="1"/>
        <c:ser>
          <c:idx val="0"/>
          <c:order val="0"/>
          <c:spPr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explosion val="0"/>
            <c:spPr>
              <a:solidFill>
                <a:srgbClr val="99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t-PT"/>
              </a:p>
            </c:txPr>
            <c:showPercent val="1"/>
            <c:showLeaderLines val="1"/>
          </c:dLbls>
          <c:cat>
            <c:strRef>
              <c:f>'plano de atividades'!$A$2:$A$3</c:f>
              <c:strCache>
                <c:ptCount val="2"/>
                <c:pt idx="0">
                  <c:v>Possui Plano de Atividades</c:v>
                </c:pt>
                <c:pt idx="1">
                  <c:v>Não possui</c:v>
                </c:pt>
              </c:strCache>
            </c:strRef>
          </c:cat>
          <c:val>
            <c:numRef>
              <c:f>'plano de atividades'!$B$2:$B$3</c:f>
              <c:numCache>
                <c:formatCode>0%</c:formatCode>
                <c:ptCount val="2"/>
                <c:pt idx="0">
                  <c:v>0.2</c:v>
                </c:pt>
                <c:pt idx="1">
                  <c:v>0.8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3.2453117273384333E-2"/>
          <c:y val="0.77766524214294308"/>
          <c:w val="0.93609772473368391"/>
          <c:h val="0.1193613969921589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pt-PT"/>
        </a:p>
      </c:txPr>
    </c:legend>
    <c:plotVisOnly val="1"/>
    <c:dispBlanksAs val="zero"/>
  </c:chart>
  <c:spPr>
    <a:noFill/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pt-PT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PT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29735234215885964"/>
          <c:y val="0.31250105964172231"/>
          <c:w val="0.40529531568228105"/>
          <c:h val="0.27430648568551202"/>
        </c:manualLayout>
      </c:layout>
      <c:pie3DChart>
        <c:varyColors val="1"/>
        <c:ser>
          <c:idx val="0"/>
          <c:order val="0"/>
          <c:spPr>
            <a:ln w="12700">
              <a:solidFill>
                <a:srgbClr val="000000"/>
              </a:solidFill>
              <a:prstDash val="solid"/>
            </a:ln>
          </c:spPr>
          <c:dPt>
            <c:idx val="0"/>
            <c:explosion val="16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t-PT"/>
              </a:p>
            </c:txPr>
            <c:showPercent val="1"/>
            <c:showLeaderLines val="1"/>
          </c:dLbls>
          <c:cat>
            <c:strRef>
              <c:f>despeasreceitas!$A$2:$A$3</c:f>
              <c:strCache>
                <c:ptCount val="2"/>
                <c:pt idx="0">
                  <c:v>Desconhecem </c:v>
                </c:pt>
                <c:pt idx="1">
                  <c:v>Conhecem </c:v>
                </c:pt>
              </c:strCache>
            </c:strRef>
          </c:cat>
          <c:val>
            <c:numRef>
              <c:f>despeasreceitas!$B$2:$B$3</c:f>
              <c:numCache>
                <c:formatCode>0%</c:formatCode>
                <c:ptCount val="2"/>
                <c:pt idx="0">
                  <c:v>0.35000000000000009</c:v>
                </c:pt>
                <c:pt idx="1">
                  <c:v>0.65000000000000024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3.9815632801997312E-2"/>
          <c:y val="0.75630040382622366"/>
          <c:w val="0.93101771026736269"/>
          <c:h val="0.1161733273906800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pt-PT"/>
        </a:p>
      </c:txPr>
    </c:legend>
    <c:plotVisOnly val="1"/>
    <c:dispBlanksAs val="zero"/>
  </c:chart>
  <c:spPr>
    <a:noFill/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pt-PT"/>
    </a:p>
  </c:txPr>
  <c:externalData r:id="rId1"/>
</c:chartSpac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SGMEI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Barreta (SG)</dc:creator>
  <cp:lastModifiedBy>Ana Santiago</cp:lastModifiedBy>
  <cp:revision>3</cp:revision>
  <cp:lastPrinted>2014-12-01T17:17:00Z</cp:lastPrinted>
  <dcterms:created xsi:type="dcterms:W3CDTF">2015-01-20T17:46:00Z</dcterms:created>
  <dcterms:modified xsi:type="dcterms:W3CDTF">2015-01-20T17:48:00Z</dcterms:modified>
</cp:coreProperties>
</file>